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Georgia" w:cs="Georgia" w:eastAsia="Georgia" w:hAnsi="Georgia"/>
          <w:b/>
          <w:bCs/>
          <w:color w:val="1E2B5C"/>
          <w:sz w:val="36"/>
          <w:szCs w:val="36"/>
        </w:rPr>
        <w:t xml:space="preserve">Communicating with Partners in Nigeria</w:t>
      </w:r>
    </w:p>
    <w:p>
      <w:pPr>
        <w:pBdr>
          <w:bottom w:val="single" w:color="D9962B" w:sz="12" w:space="6"/>
        </w:pBdr>
        <w:spacing w:after="160"/>
      </w:pPr>
      <w:r>
        <w:rPr>
          <w:color w:val="4B5466"/>
          <w:sz w:val="20"/>
          <w:szCs w:val="20"/>
        </w:rPr>
        <w:t xml:space="preserve">90-minute workshop kit  ·  Start here</w:t>
      </w:r>
    </w:p>
    <w:p>
      <w:pPr>
        <w:spacing w:after="60"/>
      </w:pPr>
      <w:r>
        <w:rPr>
          <w:color w:val="161A23"/>
          <w:sz w:val="18"/>
          <w:szCs w:val="18"/>
        </w:rPr>
        <w:t xml:space="preserve">This kit has everything you need to run a 90-minute workshop for the businesses you serve. It is written for Small Business Development Center advisors, District Export Councils, state trade offices, trade associations, chambers and educators. </w:t>
      </w:r>
      <w:r>
        <w:rPr>
          <w:b/>
          <w:bCs/>
          <w:color w:val="161A23"/>
          <w:sz w:val="18"/>
          <w:szCs w:val="18"/>
        </w:rPr>
        <w:t xml:space="preserve">You do not need to be an expert on Nigeria.</w:t>
      </w:r>
      <w:r>
        <w:rPr>
          <w:color w:val="161A23"/>
          <w:sz w:val="18"/>
          <w:szCs w:val="18"/>
        </w:rPr>
        <w:t xml:space="preserve"> Read the facilitator guide once, then use it as your script.</w:t>
      </w:r>
    </w:p>
    <w:p>
      <w:pPr>
        <w:spacing w:after="60"/>
      </w:pPr>
      <w:r>
        <w:rPr>
          <w:b/>
          <w:bCs/>
          <w:color w:val="161A23"/>
          <w:sz w:val="18"/>
          <w:szCs w:val="18"/>
        </w:rPr>
        <w:t xml:space="preserve">About the author. </w:t>
      </w:r>
      <w:r>
        <w:rPr>
          <w:color w:val="161A23"/>
          <w:sz w:val="18"/>
          <w:szCs w:val="18"/>
        </w:rPr>
        <w:t xml:space="preserve">Ayomide Adeyeye is a sociolinguist and the founder of DealDialect. She holds an M.A. in English, with a concentration in Linguistics, from North Carolina State University and a B.A. in Linguistics from Adekunle Ajasin University, Nigeria. Her research on Nigerian English and Nigerian Pidgin was presented at the Southeastern Conference on Linguistics (SECOL) in 2024, and she has more than five years of experience in training and business communication in the United States and Nigeria. She wrote every part of this kit. Contact: adeyeyeayomide97@gmail.com.</w:t>
      </w:r>
    </w:p>
    <w:p>
      <w:pPr>
        <w:keepNext/>
        <w:spacing w:after="60" w:before="100"/>
      </w:pPr>
      <w:r>
        <w:rPr>
          <w:rFonts w:ascii="Georgia" w:cs="Georgia" w:eastAsia="Georgia" w:hAnsi="Georgia"/>
          <w:b/>
          <w:bCs/>
          <w:color w:val="1E2B5C"/>
          <w:sz w:val="24"/>
          <w:szCs w:val="24"/>
        </w:rPr>
        <w:t xml:space="preserve">What is in the kit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cantSplit/>
          <w:tblHeader/>
        </w:trPr>
        <w:tc>
          <w:tcPr>
            <w:tcW w:type="dxa" w:w="2600"/>
            <w:tcBorders>
              <w:top w:val="single" w:color="C9CDD8" w:sz="4"/>
              <w:left w:val="single" w:color="C9CDD8" w:sz="4"/>
              <w:bottom w:val="single" w:color="C9CDD8" w:sz="4"/>
              <w:right w:val="single" w:color="C9CDD8" w:sz="4"/>
            </w:tcBorders>
            <w:shd w:fill="1E2B5C" w:color="auto" w:val="clear"/>
            <w:tcMar>
              <w:top w:type="dxa" w:w="30"/>
              <w:left w:type="dxa" w:w="90"/>
              <w:bottom w:type="dxa" w:w="30"/>
              <w:right w:type="dxa" w:w="90"/>
            </w:tcMar>
            <w:vAlign w:val="center"/>
          </w:tcPr>
          <w:p>
            <w:r>
              <w:rPr>
                <w:b/>
                <w:bCs/>
                <w:color w:val="FFFFFF"/>
                <w:sz w:val="15"/>
                <w:szCs w:val="15"/>
              </w:rPr>
              <w:t xml:space="preserve">File</w:t>
            </w:r>
          </w:p>
        </w:tc>
        <w:tc>
          <w:tcPr>
            <w:tcW w:type="dxa" w:w="7480"/>
            <w:tcBorders>
              <w:top w:val="single" w:color="C9CDD8" w:sz="4"/>
              <w:left w:val="single" w:color="C9CDD8" w:sz="4"/>
              <w:bottom w:val="single" w:color="C9CDD8" w:sz="4"/>
              <w:right w:val="single" w:color="C9CDD8" w:sz="4"/>
            </w:tcBorders>
            <w:shd w:fill="1E2B5C" w:color="auto" w:val="clear"/>
            <w:tcMar>
              <w:top w:type="dxa" w:w="30"/>
              <w:left w:type="dxa" w:w="90"/>
              <w:bottom w:type="dxa" w:w="30"/>
              <w:right w:type="dxa" w:w="90"/>
            </w:tcMar>
            <w:vAlign w:val="center"/>
          </w:tcPr>
          <w:p>
            <w:r>
              <w:rPr>
                <w:b/>
                <w:bCs/>
                <w:color w:val="FFFFFF"/>
                <w:sz w:val="15"/>
                <w:szCs w:val="15"/>
              </w:rPr>
              <w:t xml:space="preserve">What it is</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00_Start_Here</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This page: what is in the kit, the agenda, the license and how to report your session.</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01_Facilitator_Guide</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Preparation checklist, room setup, the full session script, tough questions, answer keys and the slide guide.</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02_Slides</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About 30 slides in the DealDialect brand, with speaker notes. Space on slides 1 and 30 for your logo.</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03_Participant_Handout</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Two pages, black-and-white friendly: key ideas, rewrite exercise, scenarios, digital trust checklist, resources.</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04_Scenario_Cards</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Scenarios S1 and S2 as cut-out cards, plus a separate facilitator feedback sheet.</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05_Pair_Exercise</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The cold email to rewrite, instructions and a facilitator copy with the model answer.</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06_Nigeria_Quick_Card</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The two-page quick card from the Nigeria Market Communication Guide.</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07_Survey_Paper</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The 8-question post-session survey on paper, plus optional arrival cards.</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08_Attendance_Sheet</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Sign-in sheet with a consent column. It stays with your organization.</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09_Certificate_Template</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Certificate of attendance with fields for name, date, host and facilitator.</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10_License</w:t>
            </w:r>
          </w:p>
        </w:tc>
        <w:tc>
          <w:tcPr>
            <w:tcW w:type="dxa" w:w="74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The CC BY 4.0 license notice and attribution wording.</w:t>
            </w:r>
          </w:p>
        </w:tc>
      </w:tr>
    </w:tbl>
    <w:p>
      <w:pPr>
        <w:spacing w:after="40"/>
      </w:pPr>
    </w:p>
    <w:p>
      <w:pPr>
        <w:keepNext/>
        <w:spacing w:after="60" w:before="40"/>
      </w:pPr>
      <w:r>
        <w:rPr>
          <w:rFonts w:ascii="Georgia" w:cs="Georgia" w:eastAsia="Georgia" w:hAnsi="Georgia"/>
          <w:b/>
          <w:bCs/>
          <w:color w:val="1E2B5C"/>
          <w:sz w:val="24"/>
          <w:szCs w:val="24"/>
        </w:rPr>
        <w:t xml:space="preserve">Session agenda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00"/>
        <w:gridCol w:w="4280"/>
        <w:gridCol w:w="4200"/>
      </w:tblGrid>
      <w:tr>
        <w:trPr>
          <w:cantSplit/>
          <w:tblHeader/>
        </w:trPr>
        <w:tc>
          <w:tcPr>
            <w:tcW w:type="dxa" w:w="1600"/>
            <w:tcBorders>
              <w:top w:val="single" w:color="C9CDD8" w:sz="4"/>
              <w:left w:val="single" w:color="C9CDD8" w:sz="4"/>
              <w:bottom w:val="single" w:color="C9CDD8" w:sz="4"/>
              <w:right w:val="single" w:color="C9CDD8" w:sz="4"/>
            </w:tcBorders>
            <w:shd w:fill="1E2B5C" w:color="auto" w:val="clear"/>
            <w:tcMar>
              <w:top w:type="dxa" w:w="30"/>
              <w:left w:type="dxa" w:w="90"/>
              <w:bottom w:type="dxa" w:w="30"/>
              <w:right w:type="dxa" w:w="90"/>
            </w:tcMar>
            <w:vAlign w:val="center"/>
          </w:tcPr>
          <w:p>
            <w:r>
              <w:rPr>
                <w:b/>
                <w:bCs/>
                <w:color w:val="FFFFFF"/>
                <w:sz w:val="15"/>
                <w:szCs w:val="15"/>
              </w:rPr>
              <w:t xml:space="preserve">Time</w:t>
            </w:r>
          </w:p>
        </w:tc>
        <w:tc>
          <w:tcPr>
            <w:tcW w:type="dxa" w:w="4280"/>
            <w:tcBorders>
              <w:top w:val="single" w:color="C9CDD8" w:sz="4"/>
              <w:left w:val="single" w:color="C9CDD8" w:sz="4"/>
              <w:bottom w:val="single" w:color="C9CDD8" w:sz="4"/>
              <w:right w:val="single" w:color="C9CDD8" w:sz="4"/>
            </w:tcBorders>
            <w:shd w:fill="1E2B5C" w:color="auto" w:val="clear"/>
            <w:tcMar>
              <w:top w:type="dxa" w:w="30"/>
              <w:left w:type="dxa" w:w="90"/>
              <w:bottom w:type="dxa" w:w="30"/>
              <w:right w:type="dxa" w:w="90"/>
            </w:tcMar>
            <w:vAlign w:val="center"/>
          </w:tcPr>
          <w:p>
            <w:r>
              <w:rPr>
                <w:b/>
                <w:bCs/>
                <w:color w:val="FFFFFF"/>
                <w:sz w:val="15"/>
                <w:szCs w:val="15"/>
              </w:rPr>
              <w:t xml:space="preserve">Segment</w:t>
            </w:r>
          </w:p>
        </w:tc>
        <w:tc>
          <w:tcPr>
            <w:tcW w:type="dxa" w:w="4200"/>
            <w:tcBorders>
              <w:top w:val="single" w:color="C9CDD8" w:sz="4"/>
              <w:left w:val="single" w:color="C9CDD8" w:sz="4"/>
              <w:bottom w:val="single" w:color="C9CDD8" w:sz="4"/>
              <w:right w:val="single" w:color="C9CDD8" w:sz="4"/>
            </w:tcBorders>
            <w:shd w:fill="1E2B5C" w:color="auto" w:val="clear"/>
            <w:tcMar>
              <w:top w:type="dxa" w:w="30"/>
              <w:left w:type="dxa" w:w="90"/>
              <w:bottom w:type="dxa" w:w="30"/>
              <w:right w:type="dxa" w:w="90"/>
            </w:tcMar>
            <w:vAlign w:val="center"/>
          </w:tcPr>
          <w:p>
            <w:r>
              <w:rPr>
                <w:b/>
                <w:bCs/>
                <w:color w:val="FFFFFF"/>
                <w:sz w:val="15"/>
                <w:szCs w:val="15"/>
              </w:rPr>
              <w:t xml:space="preserve">Method</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0 to 10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Welcome and the cost of a misread message</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Story and quick poll</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10 to 25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Same language, different rules</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Short talk and "Guess the meaning"</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25 to 45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Greetings, titles and relationships</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Pairs rewrite a cold email</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45 to 65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Reading indirect signals</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Scenarios S1 and S2 in small groups</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65 to 80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Digital trust and payments</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Checklist walk-through</w:t>
            </w:r>
          </w:p>
        </w:tc>
      </w:tr>
      <w:tr>
        <w:trPr>
          <w:cantSplit/>
          <w:tblHeader w:val="false"/>
        </w:trPr>
        <w:tc>
          <w:tcPr>
            <w:tcW w:type="dxa" w:w="16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80 to 90 min</w:t>
            </w:r>
          </w:p>
        </w:tc>
        <w:tc>
          <w:tcPr>
            <w:tcW w:type="dxa" w:w="428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Action plan and evaluation</w:t>
            </w:r>
          </w:p>
        </w:tc>
        <w:tc>
          <w:tcPr>
            <w:tcW w:type="dxa" w:w="4200"/>
            <w:tcBorders>
              <w:top w:val="single" w:color="C9CDD8" w:sz="4"/>
              <w:left w:val="single" w:color="C9CDD8" w:sz="4"/>
              <w:bottom w:val="single" w:color="C9CDD8" w:sz="4"/>
              <w:right w:val="single" w:color="C9CDD8" w:sz="4"/>
            </w:tcBorders>
            <w:tcMar>
              <w:top w:type="dxa" w:w="30"/>
              <w:left w:type="dxa" w:w="90"/>
              <w:bottom w:type="dxa" w:w="30"/>
              <w:right w:type="dxa" w:w="90"/>
            </w:tcMar>
            <w:vAlign w:val="center"/>
          </w:tcPr>
          <w:p>
            <w:r>
              <w:rPr>
                <w:color w:val="161A23"/>
                <w:sz w:val="15"/>
                <w:szCs w:val="15"/>
              </w:rPr>
              <w:t xml:space="preserve">One next step per firm; survey</w:t>
            </w:r>
          </w:p>
        </w:tc>
      </w:tr>
    </w:tbl>
    <w:p>
      <w:pPr>
        <w:spacing w:after="40"/>
      </w:pPr>
    </w:p>
    <w:p>
      <w:pPr>
        <w:keepNext/>
        <w:spacing w:after="60" w:before="40"/>
      </w:pPr>
      <w:r>
        <w:rPr>
          <w:rFonts w:ascii="Georgia" w:cs="Georgia" w:eastAsia="Georgia" w:hAnsi="Georgia"/>
          <w:b/>
          <w:bCs/>
          <w:color w:val="1E2B5C"/>
          <w:sz w:val="24"/>
          <w:szCs w:val="24"/>
        </w:rPr>
        <w:t xml:space="preserve">Three steps</w:t>
      </w:r>
    </w:p>
    <w:p>
      <w:pPr>
        <w:pStyle w:val="ListParagraph"/>
        <w:numPr>
          <w:ilvl w:val="0"/>
          <w:numId w:val="2"/>
        </w:numPr>
        <w:spacing w:after="50"/>
      </w:pPr>
      <w:r>
        <w:rPr>
          <w:b/>
          <w:bCs/>
          <w:sz w:val="18"/>
          <w:szCs w:val="18"/>
        </w:rPr>
        <w:t xml:space="preserve">Prepare.</w:t>
      </w:r>
      <w:r>
        <w:rPr>
          <w:sz w:val="18"/>
          <w:szCs w:val="18"/>
        </w:rPr>
        <w:t xml:space="preserve"> Read the facilitator guide (01). Print the handout, scenario cards, pair exercise, quick card, surveys and attendance sheet (03 to 08).</w:t>
      </w:r>
    </w:p>
    <w:p>
      <w:pPr>
        <w:pStyle w:val="ListParagraph"/>
        <w:numPr>
          <w:ilvl w:val="0"/>
          <w:numId w:val="2"/>
        </w:numPr>
        <w:spacing w:after="50"/>
      </w:pPr>
      <w:r>
        <w:rPr>
          <w:b/>
          <w:bCs/>
          <w:sz w:val="18"/>
          <w:szCs w:val="18"/>
        </w:rPr>
        <w:t xml:space="preserve">Deliver.</w:t>
      </w:r>
      <w:r>
        <w:rPr>
          <w:sz w:val="18"/>
          <w:szCs w:val="18"/>
        </w:rPr>
        <w:t xml:space="preserve"> Follow the session script. Keep the survey in the last 10 minutes; never cut it.</w:t>
      </w:r>
    </w:p>
    <w:p>
      <w:pPr>
        <w:pStyle w:val="ListParagraph"/>
        <w:numPr>
          <w:ilvl w:val="0"/>
          <w:numId w:val="2"/>
        </w:numPr>
        <w:spacing w:after="50"/>
      </w:pPr>
      <w:r>
        <w:rPr>
          <w:b/>
          <w:bCs/>
          <w:sz w:val="18"/>
          <w:szCs w:val="18"/>
        </w:rPr>
        <w:t xml:space="preserve">Report.</w:t>
      </w:r>
      <w:r>
        <w:rPr>
          <w:sz w:val="18"/>
          <w:szCs w:val="18"/>
        </w:rPr>
        <w:t xml:space="preserve"> Go to </w:t>
      </w:r>
      <w:r>
        <w:rPr>
          <w:b/>
          <w:bCs/>
          <w:sz w:val="18"/>
          <w:szCs w:val="18"/>
        </w:rPr>
        <w:t xml:space="preserve">dealdialect.com/counselors</w:t>
      </w:r>
      <w:r>
        <w:rPr>
          <w:sz w:val="18"/>
          <w:szCs w:val="18"/>
        </w:rPr>
        <w:t xml:space="preserve"> and choose "Tell us you ran it." It takes about two minutes and needs only counts, never names.</w:t>
      </w:r>
    </w:p>
    <w:p>
      <w:pPr>
        <w:pBdr>
          <w:left w:val="single" w:color="13795B" w:sz="24" w:space="8"/>
        </w:pBdr>
        <w:shd w:fill="E7F3EE" w:color="auto" w:val="clear"/>
        <w:spacing w:after="120" w:before="60"/>
        <w:ind w:left="160" w:right="100"/>
      </w:pPr>
      <w:r>
        <w:rPr>
          <w:b/>
          <w:bCs/>
          <w:color w:val="13795B"/>
          <w:sz w:val="18"/>
          <w:szCs w:val="18"/>
        </w:rPr>
        <w:t xml:space="preserve">Free to use, adapt and share.  </w:t>
      </w:r>
      <w:r>
        <w:rPr>
          <w:sz w:val="18"/>
          <w:szCs w:val="18"/>
        </w:rPr>
        <w:t xml:space="preserve">This kit is licensed under Creative Commons Attribution 4.0 (CC BY 4.0). You may add your logo, cut or translate material, and use it in paid training. Keep this line on slides, handouts and certificates: "From DealDialect (dealdialect.com) by Ayomide Adeyeye, licensed CC BY 4.0." If you change the materials, add: "Adapted by" followed by the name of your organization.</w:t>
      </w:r>
    </w:p>
    <w:p>
      <w:pPr>
        <w:spacing w:after="60"/>
      </w:pPr>
      <w:r>
        <w:rPr>
          <w:color w:val="4B5466"/>
          <w:sz w:val="15"/>
          <w:szCs w:val="15"/>
        </w:rPr>
        <w:t xml:space="preserve">This kit teaches communication habits. It describes common tendencies, not rules about individuals. It is not legal, tax or compliance advice. Questions? Contact the author, Ayomide Adeyeye, at adeyeyeayomide97@gmail.com.</w:t>
      </w:r>
    </w:p>
    <w:sectPr>
      <w:headerReference w:type="default" r:id="rId7"/>
      <w:footerReference w:type="default" r:id="rId8"/>
      <w:pgSz w:w="12240" w:h="15840" w:orient="portrait"/>
      <w:pgMar w:top="1060" w:right="960" w:bottom="720" w:left="96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color w:val="4B5466"/>
        <w:sz w:val="14"/>
        <w:szCs w:val="14"/>
      </w:rPr>
      <w:t xml:space="preserve">From DealDialect (dealdialect.com) by Ayomide Adeyeye, licensed CC BY 4.0.</w:t>
    </w:r>
    <w:r>
      <w:rPr>
        <w:color w:val="4B5466"/>
        <w:sz w:val="14"/>
        <w:szCs w:val="14"/>
      </w:rPr>
      <w:t xml:space="preserve">	Page </w:t>
    </w:r>
    <w:r>
      <w:rPr>
        <w:color w:val="4B546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7EE" w:sz="6" w:space="4"/>
      </w:pBdr>
      <w:tabs>
        <w:tab w:val="right" w:pos="10080"/>
      </w:tabs>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52400"/>
                  </a:xfrm>
                  <a:prstGeom prst="rect">
                    <a:avLst/>
                  </a:prstGeom>
                </pic:spPr>
              </pic:pic>
            </a:graphicData>
          </a:graphic>
        </wp:inline>
      </w:drawing>
    </w:r>
    <w:r>
      <w:rPr>
        <w:rFonts w:ascii="Georgia" w:cs="Georgia" w:eastAsia="Georgia" w:hAnsi="Georgia"/>
        <w:b/>
        <w:bCs/>
        <w:color w:val="161A23"/>
        <w:sz w:val="18"/>
        <w:szCs w:val="18"/>
      </w:rPr>
      <w:t xml:space="preserve">  Deal</w:t>
    </w:r>
    <w:r>
      <w:rPr>
        <w:rFonts w:ascii="Georgia" w:cs="Georgia" w:eastAsia="Georgia" w:hAnsi="Georgia"/>
        <w:b/>
        <w:bCs/>
        <w:color w:val="1E2B5C"/>
        <w:sz w:val="18"/>
        <w:szCs w:val="18"/>
      </w:rPr>
      <w:t xml:space="preserve">Dialect</w:t>
    </w:r>
    <w:r>
      <w:rPr>
        <w:color w:val="4B5466"/>
        <w:sz w:val="16"/>
        <w:szCs w:val="16"/>
      </w:rPr>
      <w:t xml:space="preserve">	Workshop kit  ·  Start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lvl>
    <w:lvl w:ilvl="1" w15:tentative="1">
      <w:start w:val="1"/>
      <w:numFmt w:val="bullet"/>
      <w:lvlText w:val="◦"/>
      <w:lvlJc w:val="left"/>
      <w:pPr>
        <w:ind w:left="68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1A23"/>
        <w:sz w:val="18"/>
        <w:szCs w:val="18"/>
      </w:rPr>
    </w:rPrDefault>
    <w:pPrDefault>
      <w:pPr>
        <w:spacing w:line="252"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dca8d12fcb9cef6ba6d4028fbb81eaab05988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dc:title>
  <dc:creator>DealDialect</dc:creator>
  <cp:lastModifiedBy>Un-named</cp:lastModifiedBy>
  <cp:revision>1</cp:revision>
  <dcterms:created xsi:type="dcterms:W3CDTF">2026-10-15T23:57:02.517Z</dcterms:created>
  <dcterms:modified xsi:type="dcterms:W3CDTF">2026-10-15T23:57:02.517Z</dcterms:modified>
</cp:coreProperties>
</file>

<file path=docProps/custom.xml><?xml version="1.0" encoding="utf-8"?>
<Properties xmlns="http://schemas.openxmlformats.org/officeDocument/2006/custom-properties" xmlns:vt="http://schemas.openxmlformats.org/officeDocument/2006/docPropsVTypes"/>
</file>